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-231.259842519683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директора ООО «СитиБай» от </w:t>
      </w:r>
      <w:r w:rsidDel="00000000" w:rsidR="00000000" w:rsidRPr="00000000">
        <w:rPr>
          <w:sz w:val="28"/>
          <w:szCs w:val="28"/>
          <w:rtl w:val="0"/>
        </w:rPr>
        <w:t xml:space="preserve">23.04.2024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</w:t>
      </w:r>
      <w:r w:rsidDel="00000000" w:rsidR="00000000" w:rsidRPr="00000000">
        <w:rPr>
          <w:sz w:val="28"/>
          <w:szCs w:val="28"/>
          <w:rtl w:val="0"/>
        </w:rPr>
        <w:t xml:space="preserve">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Политика обработки персональных данных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интернет-ресурса </w:t>
      </w:r>
      <w:r w:rsidDel="00000000" w:rsidR="00000000" w:rsidRPr="00000000">
        <w:rPr>
          <w:b w:val="1"/>
          <w:sz w:val="30"/>
          <w:szCs w:val="30"/>
          <w:rtl w:val="0"/>
        </w:rPr>
        <w:t xml:space="preserve">secondstroy.by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Настоящая Политика обработки персональных данных общества с ограниченной ответственностью «СитиБай» (далее – политика обработки ПД):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разработана с учетом требований Конституции Республики Беларусь, Закона Республики Беларусь от 07.05.2021 No 99-З «О защите персональных данных» (далее - Закон), Указа Президента Республики Беларусь от 28 октября 2021 г. № 422 «О мерах по совершенствованию защиты персональных данных», Закона от 10.11.2008 г. № 455-З «Об информации, информатизации и защите информации» законодательных и иных нормативных правовых актов Республики Беларусь в области персональных данных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действует в отношении всех персональных данных, которые собираются при использовании интернет-ресурса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том числе мобильных приложений на базе операционных систем Android и iOS;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определяет основные принципы, цели, условия и способы обработки персональных данных, перечни субъектов и обрабатываемых в ООО «СитиБай» персональных данных, функции ООО «СитиБай» при обработке персональных данных, права субъектов персональных данных, а также реализуемые в ООО «СитиБай» требования к защите персональных данных.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Правовым основанием обработки персональных данных является согласие субъекта персональных данных, за исключением случаев, установленных законодательством Республики Беларусь, когда обработка персональных данных осуществляется без получения такого согласия и происходит в соответствии с иными правовыми основаниями. Содержание и объем персональных данных определяется необходимостью достижения конкретных целей их обработки, а также необходимостью компании реализовать свои права и обязанности, а также права и обязанности соответствующего субъекта персональных данных.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Оператор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Оператором является общество с ограниченной ответственностью «СитиБай» (далее — компания).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Местонахождение компании: Республика Беларусь, 220114, г. Минск, ул. Филимонова, 25Б, офис 405.</w:t>
      </w:r>
    </w:p>
    <w:p w:rsidR="00000000" w:rsidDel="00000000" w:rsidP="00000000" w:rsidRDefault="00000000" w:rsidRPr="00000000" w14:paraId="00000011">
      <w:pP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1.3. Компания сопровождает деятельность интернет-ресурса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в частности мобильных приложений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 базе операционных систем Android и iOS.</w:t>
      </w:r>
    </w:p>
    <w:p w:rsidR="00000000" w:rsidDel="00000000" w:rsidP="00000000" w:rsidRDefault="00000000" w:rsidRPr="00000000" w14:paraId="00000012">
      <w:pP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настоящей политике обработки персональных данных используются термины и определения в значениях, предусмотренных законодательством Республики Беларусь в области персональных данных, пользовательского соглашения интернет-ресурса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также следующие термины: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Пользователь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– лицо, осуществившее регистрацию профиля пользователя в интернет-ресурсе (мобильном приложении)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Посетитель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— лицо, которое посещает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не осуществившее регистрацию профиля пользователя на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Персональные данные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–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Физическое лицо, которое может быть идентифицировано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— физическое лицо,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Обработка персональных данных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Cookies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– небольшой фрагмент данных, отправленный веб-сервером и хранимый на устройстве субъекта персональных данных,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IP-адрес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– уникальный сетевой адрес, идентифицирующий устройство в интернете или локальной сети.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Содержание объявлений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- вся указываемая в объявлении информация.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Принадлежность к сегменту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— группа пользователей, объединенных определенными критериями. В качестве критериев могут выступать возраст, пол, местоположение (город, регион), язык интерфейса, интересы, поведение на сайтах и в приложениях, частота использования, активность, предпочтения в покупках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Договор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 — это пользовательское соглашение Интернет-ресурса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опубликованное в сети Интернет по адресу </w:t>
      </w:r>
      <w:r w:rsidDel="00000000" w:rsidR="00000000" w:rsidRPr="00000000">
        <w:rPr>
          <w:sz w:val="28"/>
          <w:szCs w:val="28"/>
          <w:rtl w:val="0"/>
        </w:rPr>
        <w:t xml:space="preserve">https://secondstroy.by/info.html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Категории субъектов персональных данных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Компания осуществляет обработку персональных данных следующих категорий субъектов (далее именуемые «субъект данных», «субъекты данных»):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3.1.1. пользователей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3.1.2. посетителей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3.1.3. лица, которые инициируют обращение в службу поддержки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через страницу (вкладку) «Написать в техническую поддержку» в личном кабинете в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3.1.5. лица, которые претендуют на заключение с компанией публичных договоров возмездного оказания услуг.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Цели обработки персональных данных компанией и типы данных, собираемых компанией для каждой из целей:</w:t>
      </w:r>
    </w:p>
    <w:tbl>
      <w:tblPr>
        <w:tblStyle w:val="Table1"/>
        <w:tblW w:w="10198.0" w:type="dxa"/>
        <w:jc w:val="left"/>
        <w:tblLayout w:type="fixed"/>
        <w:tblLook w:val="0400"/>
      </w:tblPr>
      <w:tblGrid>
        <w:gridCol w:w="2402"/>
        <w:gridCol w:w="2835"/>
        <w:gridCol w:w="1843"/>
        <w:gridCol w:w="1559"/>
        <w:gridCol w:w="1559"/>
        <w:tblGridChange w:id="0">
          <w:tblGrid>
            <w:gridCol w:w="2402"/>
            <w:gridCol w:w="2835"/>
            <w:gridCol w:w="1843"/>
            <w:gridCol w:w="1559"/>
            <w:gridCol w:w="1559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Цель обработки персональных данных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Виды обрабатываемых персональных данных компанией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Чьи персональные данные обрабатываются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Правовое основание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Срок хранения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Предоставление пользователю возможности регистрации профиля пользователя на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и использования всех его функций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телефона; зашифрованный пароль; в случае регистрации коммерческого типа профиля также данные юридического лица или индивидуального предпринимателя, а именно: наименование юридического лица, собственное фамилия, имя, отчество индивидуального предпринимателя, УНП, юридический адрес.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момента удаления аккаунта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Предоставление возможности размещения объявлений на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профиля пользователя; дата и время размещения объявлений; содержание объявлений, в том числе фотографии; номер телефона; адрес электронной почты.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момента удаления объявления из профиля пользователя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Предоставление возможности редактирования, деактивации размещенных объявлений на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и активации ранее деактивированных объявлений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профиля пользователя; данные о внесенных изменениях в содержание объявления; дата и время редактирования/деактивации/активации объявления.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момента удаления объявления из профиля пользователя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Предоставление возможности сохранения пользователем в профиле пользователя избранных объявлений и избранных поисков и их просмотра в профиле пользователя.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профиля пользователя; номер сохраненного объявления/ избранного поиска; дата и время, в который были сохранены избранное объявление/избранный поиск.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момента удаления аккаунта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Предоставление пользователю возможности коммуникации с другими пользователями посредством отправки сообщений в профиле пользователя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профиля пользователя отправителя сообщения и получателя сообщения; имя отправителя сообщения и получателя сообщения; дата и время отправки сообщения; номер объявления, на странице которого отправитель инициировал отправку первого сообщения его получателю; прочитано ли сообщение получателем.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календарных месяца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Предоставление рекомендаций о просмотре рекламных объявлений на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, похожих на просмотренные ранее объявления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история просмотренных объявлений; IP-адрес.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 Посетители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 календарных дней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Предоставление возможности оплаты услуг продвижения объявлений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профиля пользователя; номер объявления, к которому подключается услуга продвижения; категория объявления; сумма оплаты; баланс кошелька.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момента удаления аккаунта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Повышение доверия среди пользователей путем размещения информации о пользователе на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в том числе о его рейтинге (средней оценке других пользователей)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дата регистрации профиля пользователя, данные о котором размещаются на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для указанной цели; имя, указанное в профиле пользователя; номер профиля пользователя, о котором размещается информация; номер профиля пользователя, который оставил оценку; оценки пользователей; количество оценок.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года с момента удаления аккаунта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Пресечение нарушения правил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посредством модерации рекламных объявлений, размещаемых на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профиля пользователя; история размещаемых пользователем объявлений; номер объявления; дата и время подачи объявления; e-mail; номер телефона; IP-адрес; номер фотографии из объявления; содержание объявления, в том числе фотографии; в случае оплаты услуг продвижения: дата и время оплаты, способ оплаты, идентификатор платежа, сумма; в случае размещения коммерческого типа объявления: фамилия, собственное имя отчество индивидуального предпринимателя, наименование юридического лица, УНП, юридический адрес.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момента удаления аккаунта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Минимизация или устранение условий, способствующих совершению противоправных действий в сети Интернет, а также предоставление пользователям возможности защиты своих прав в правоохранительных органах и судах в течение периода действия общего срока давности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e-mail; номер телефона;</w:t>
              <w:br w:type="textWrapping"/>
              <w:t xml:space="preserve">IP-адрес; платформа;</w:t>
              <w:br w:type="textWrapping"/>
              <w:t xml:space="preserve">данные о браузере;</w:t>
              <w:br w:type="textWrapping"/>
              <w:t xml:space="preserve">device ID;</w:t>
              <w:br w:type="textWrapping"/>
              <w:t xml:space="preserve">история заказов;</w:t>
              <w:br w:type="textWrapping"/>
              <w:t xml:space="preserve">история использования платных услуг на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е; история обращений в службу поддержки; история зарегистрированных аккаунтов; дата регистрации профиля пользователя;</w:t>
              <w:br w:type="textWrapping"/>
              <w:t xml:space="preserve">имя, указанное в профиле пользователя;</w:t>
              <w:br w:type="textWrapping"/>
              <w:t xml:space="preserve">номер профиля пользователя;</w:t>
              <w:br w:type="textWrapping"/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случае регистрации коммерческого типа профиля данные юридического лица или индивидуального предпринимателя, а именно:</w:t>
              <w:br w:type="textWrapping"/>
              <w:t xml:space="preserve">наименование юридического лица, собственное фамилия, имя, отчество индивидуального предпринимателя, УНП, адрес местонахождения.</w:t>
              <w:br w:type="textWrapping"/>
              <w:t xml:space="preserve">история размещенных объявлений</w:t>
              <w:br w:type="textWrapping"/>
              <w:t xml:space="preserve">номер объявления;</w:t>
              <w:br w:type="textWrapping"/>
              <w:t xml:space="preserve">дата и время подачи объявления;</w:t>
              <w:br w:type="textWrapping"/>
              <w:t xml:space="preserve">содержание объявления, в том числе фотографии;</w:t>
              <w:br w:type="textWrapping"/>
              <w:t xml:space="preserve">номер фотографии из объявления;</w:t>
              <w:br w:type="textWrapping"/>
              <w:t xml:space="preserve">данные об изменениях, внесенных в содержание объявления;</w:t>
              <w:br w:type="textWrapping"/>
              <w:t xml:space="preserve">дата и время редактирования/деактивации/активации объявления;</w:t>
              <w:br w:type="textWrapping"/>
              <w:t xml:space="preserve">количество размещенных в профиле пользователя активных объявлений в каждой категории;</w:t>
              <w:br w:type="textWrapping"/>
              <w:t xml:space="preserve">в случае размещения объявления коммерческого типа - фамилия, собственное имя, отчество индивидуального предпринимателя, наименование, УНП, адрес местонахождения юридического лица.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история просмотренных объявлений;</w:t>
              <w:br w:type="textWrapping"/>
              <w:t xml:space="preserve">история просмотренных номеров телефонов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Договор/Выполнение обязанностей (полномочий)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года с момента удаления аккаунта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год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Обеспечение и улучшение работоспособности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посредством сбора и анализа технических ошибок, возникших у пользователей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марка и модель устройства; идентификационный номер устройства; наименование браузера, его версия; тип операционной системы; IP-адрес; версия кода с ошибкой; вид интернета (wi-fi или мобильная сеть (LTE)) данные об оперативной памяти; количество потоков ядра; вид мобильного приложения; способ установки мобильного приложения.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  <w:br w:type="textWrapping"/>
              <w:t xml:space="preserve">Посетители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 календарных месяцев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Обработка информации (резюме) кандидата на трудоустройство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ФИО, e-mail, место жительства, номер телефона, образование, профиль социальной сети (при его указании), опыт работы, должность, иная указанная кандидатом информация в сопроводительном письме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Кандидаты на вакансии компании, которые направляют заявки в раздел "Вакансии" на главной странице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года с момента направления заявки (резюме)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Предоставление консультации службой поддержки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E-mail, текст обращения в службу поддержки, номер телефона, IP адрес;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Лица, которые инициируют обращение в службу поддержки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через страницу (вкладку) «Написать в техническую поддержку» в личном кабинете в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момента завершения консультации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Оперативная помощь в устранении возникших у пользователя технических ошибках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E-mail, текст обращения в службу поддержки, номер телефона, IP адрес, тип устройства, данные о модели устройства, данные о приложении, расширение экрана, тип операционной системы;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Лица, которые инициируют обращение в службу поддержки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через страницу (вкладку) «Написать в техническую поддержку» в личном кабинете в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момента устранения технической ошибки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Анализ обращений пользователя с целью определения наиболее частых причин обращения и усовершенствование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(его сервисов)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Причина обращения, тип устройства, данные о модели устройства, данные о приложении, расширение экрана, тип операционной системы, другая информация в зависимости от темы обращения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Лица, которые инициируют обращение в службу поддержки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через страницу (вкладку) «Написать в техническую поддержку» в личном кабинете в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год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Хранение истории обращений в службу поддержки с целью улучшения пользовательского опыта и противодействия мошенничеству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E-mail, история обращений, текст обращения в службу поддержки, номер телефона, IP адрес, тип устройства, данные о модели устройства, данные о приложении, расширение экрана, тип операционной системы, тикет ID, история оценок специалисту службы поддержки;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Лица, которые инициируют обращение в службу поддержки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на странице (вкладке) "Помощь" (в личном кабинете)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года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Рассмотрение заявки на заключение одного из публичных договоров ООО "СитиБай" возмездного оказания услуг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Реквизиты контрагента, данные представителя контрагента: имя, номер телефона, электронный адрес, иная необходимая для формирования счета информация.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Лица, которые претендуют на заключение с компанией публичных договоров возмездного оказания услуг.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года с момента окончания оказания услуг по соответствующему договору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Показ рекламы пользователю во внешних источниках (в том числе в социальных сетях) и на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на основе его интересов/поведения или принадлежности к определенному сегменту пользователей (look a like)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Client ID, принадлежность к сегменту, IP-адрес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Посетители</w:t>
              <w:br w:type="textWrapping"/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Согласие</w:t>
              <w:br w:type="textWrapping"/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90 дней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Отправка персонализированных уведомлений по e-mail, в личных сообщениях на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с рекомендациями о просмотре объявлений, похожих на просмотренные ранее или об использовании сервисов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Cookies, информация о просмотренных ранее объявлениях, Client ID, информация об использовании сервисов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Посетители</w:t>
              <w:br w:type="textWrapping"/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Согласие</w:t>
              <w:br w:type="textWrapping"/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2-х лет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Улучшение </w:t>
            </w:r>
            <w:r w:rsidDel="00000000" w:rsidR="00000000" w:rsidRPr="00000000">
              <w:rPr>
                <w:rtl w:val="0"/>
              </w:rPr>
              <w:t xml:space="preserve">secondstroy.by</w:t>
            </w:r>
            <w:r w:rsidDel="00000000" w:rsidR="00000000" w:rsidRPr="00000000">
              <w:rPr>
                <w:color w:val="000000"/>
                <w:rtl w:val="0"/>
              </w:rPr>
              <w:t xml:space="preserve"> посредством анализа предпочтений посетителей и пользователей сайта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Cookies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Посетители</w:t>
              <w:br w:type="textWrapping"/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Согласие</w:t>
              <w:br w:type="textWrapping"/>
              <w:t xml:space="preserve">Договор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 2-х лет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Выполнение требований законодательства Республики Беларусь по идентификации пользователя по номеру мобильного телефона (соответствует процедуре верификации номера мобильного телефона, описанной в Договоре)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мобильного телефона, ID аккаунта, дата и время ввода кода из СМС, IP-адрес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Пользователи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выполнение обязанностей, полномочий (абз. 20 статьи 6 Закона, п. 4 постановления Совета Министров РБ от 23.11.2018 № 850)</w:t>
            </w:r>
          </w:p>
        </w:tc>
        <w:tc>
          <w:tcPr>
            <w:tcBorders>
              <w:top w:color="ededed" w:space="0" w:sz="6" w:val="single"/>
              <w:left w:color="ededed" w:space="0" w:sz="6" w:val="single"/>
              <w:bottom w:color="ededed" w:space="0" w:sz="6" w:val="single"/>
              <w:right w:color="edede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года с даты удаления аккаунта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Порядок и условия обработки персональных данных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 Основанием для обработки данных является согласие субъекта данных, за исключением случаев, когда обработка данных осуществляется без получения такого согласия в соответствии с законодательством Республики Беларусь или договором, заключенным между компанией и субъектом данных.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 Согласие на обработку данных представляет собой свободное, однозначное, информированное выражение воли субъекта данных, посредством которого он разрешает обработку своих данных.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Отказ субъекта данных дать согласие на обработку своих данных дает компании право отказать такому субъекту данных в предоставлении доступа к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(или) в оказании компанией услуг посредством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Способы обработки данных компанией: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неавтоматизированная обработка данных;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автоматизированная обработка данных с передачей полученной информации по информационно-телекоммуникационным сетям или без такой передачи;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смешанная обработка данных.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Хранение данных осуществляется не дольше, чем этого требуют цели обработки данных, кроме случаев, когда определенный срок хранения данных установлен законодательством Республики Беларусь, договором, заключенным с субъектом данных, в целях совершения действий, установленных этим договором.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5.5. Обработка данных субъектов данных прекращается с момента: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достижения целей обработки данных;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истечения срока обработки данных;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отзыва субъектом данных согласия на обработку его (ее) данных;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выявления неправомерной обработки данных.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5.6. При обработке данных компания принимает необходимые правовые, организационные и технические меры по обеспечению защиты данных от несанкционированного или случайного доступа к ним, изменения, блокирования, копирования, распространения, предоставления, удаления данных, а также от иных неправомерных действий в отношении данных.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Доступ третьих лиц к персональным данным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Компания в случае необходимости для достижения целей обработки, указанных в настоящей Политике, вправе передавать данные перечисленным ниже третьим лицам, а также иным третьим лицам с соблюдением требований законодательства Республики Беларусь: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Яндекс Метрика</w:t>
      </w:r>
      <w:r w:rsidDel="00000000" w:rsidR="00000000" w:rsidRPr="00000000">
        <w:rPr>
          <w:color w:val="000000"/>
          <w:rtl w:val="0"/>
        </w:rPr>
        <w:t xml:space="preserve"> – сервис веб-аналитики, предоставляемый ООО «Яндекс». Адрес: г. Москва, ул. Льва Толстого, д. 16, 119021. </w:t>
      </w:r>
      <w:hyperlink r:id="rId7">
        <w:r w:rsidDel="00000000" w:rsidR="00000000" w:rsidRPr="00000000">
          <w:rPr>
            <w:color w:val="00ad64"/>
            <w:u w:val="single"/>
            <w:rtl w:val="0"/>
          </w:rPr>
          <w:t xml:space="preserve">Политика конфиденциальности Яндекс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Рекламная сеть Яндекса</w:t>
      </w:r>
      <w:r w:rsidDel="00000000" w:rsidR="00000000" w:rsidRPr="00000000">
        <w:rPr>
          <w:color w:val="000000"/>
          <w:rtl w:val="0"/>
        </w:rPr>
        <w:t xml:space="preserve"> - сервис показа контекстной рекламы, предоставляемый компанией Yandex Europe AG, Werftestrasse 4, CH-6005 Luzern, Switzerland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Google Analytics</w:t>
      </w:r>
      <w:r w:rsidDel="00000000" w:rsidR="00000000" w:rsidRPr="00000000">
        <w:rPr>
          <w:color w:val="000000"/>
          <w:rtl w:val="0"/>
        </w:rPr>
        <w:t xml:space="preserve"> – сервис веб-аналитики, предоставляемый компанией Google Ireland Limited. Адрес: Ireland, Google Building Gordon House, 4 Barrow St, Grand Canal Dock, Dublin 4, D04 V4X7. </w:t>
      </w:r>
      <w:hyperlink r:id="rId8">
        <w:r w:rsidDel="00000000" w:rsidR="00000000" w:rsidRPr="00000000">
          <w:rPr>
            <w:color w:val="00ad64"/>
            <w:u w:val="single"/>
            <w:rtl w:val="0"/>
          </w:rPr>
          <w:t xml:space="preserve">Политика конфиденциальности Google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ind w:left="1080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Omnidesk</w:t>
      </w:r>
      <w:r w:rsidDel="00000000" w:rsidR="00000000" w:rsidRPr="00000000">
        <w:rPr>
          <w:color w:val="000000"/>
          <w:rtl w:val="0"/>
        </w:rPr>
        <w:t xml:space="preserve"> – программное обеспечение для рассмотрения обращений Пользователей в службе поддержки </w:t>
      </w:r>
      <w:r w:rsidDel="00000000" w:rsidR="00000000" w:rsidRPr="00000000">
        <w:rPr>
          <w:rtl w:val="0"/>
        </w:rPr>
        <w:t xml:space="preserve">secondstroy.by</w:t>
      </w:r>
      <w:r w:rsidDel="00000000" w:rsidR="00000000" w:rsidRPr="00000000">
        <w:rPr>
          <w:color w:val="000000"/>
          <w:rtl w:val="0"/>
        </w:rPr>
        <w:t xml:space="preserve">, предоставляемое Omniplatforma SRL, 1018600026497 Букурешть 90, офис 45 Кишинёв, MD-2012 Республика Молдова. Политика в отношении обработки персональных данных Omnidesk </w:t>
      </w:r>
      <w:hyperlink r:id="rId9">
        <w:r w:rsidDel="00000000" w:rsidR="00000000" w:rsidRPr="00000000">
          <w:rPr>
            <w:color w:val="00ad64"/>
            <w:u w:val="single"/>
            <w:rtl w:val="0"/>
          </w:rPr>
          <w:t xml:space="preserve">Политика в отношении обработки персональных данных Omnidesk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6.2. Компания также вправе передавать персональные данные соответствующим третьим лицам, когда у нее есть основания полагать, что она обязана сделать это в силу закона.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При этом компания без согласия субъекта данных не раскрывает третьим лицам и не распространяет такие данные, если иное не предусмотрено законодательством Республики Беларусь.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Порядок реализации прав субъектов данных</w:t>
      </w:r>
    </w:p>
    <w:p w:rsidR="00000000" w:rsidDel="00000000" w:rsidP="00000000" w:rsidRDefault="00000000" w:rsidRPr="00000000" w14:paraId="000000B5">
      <w:pP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7.1. Субъект данных вправе отозвать или изменить свое согласие на обработку персональных данных в форме подачи компании заявления в письменной форме либо в виде электронного документа (в соответствии с законодательством Республики Беларусь электронным документом считается исключительно документ, подписанный электронной цифровой подписью) или с помощью электронной формы.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 в письменной форме либо в виде электронного документа должно содержать: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фамилию, имя, отчество субъекта данных;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адрес места жительства (места пребывания);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дату рождения;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идентификационный номер или иные паспортные данные (в случае есл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и указывались при даче согласия или обработка данных осуществлялась без согласия субъекта данных);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изложение сути требования;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 личную или электронную цифровую подпись.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Компания в течение 15 (пятнадцати) дней с момента получения заявления прекращает обработку персональных данных (если нет оснований для обработки в соответствии с законодательством), осуществляет удаление, при отсутствии технической возможности удаления – принимает меры по недопущению дальнейшей обработки таких данных, включая их блокирование, и уведомляет об этом субъекта данных в тот же срок.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7.2. Субъект данных вп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раве требовать от компании внесения изменений в свои данные в случае, если такие данные являются неполными, устаревшими или неточными. В этих целях субъект данных подает компании заявление в порядке, установленном п. 7.1 настоящей Политики с приложением соответствующих документов и (или) их заверенных в установленном порядке копий, подтверждающих необходимость внесения изменений в такие данные.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7.3. Субъект данных вправе получать от компании информацию о предоставлении своих персональных данных третьим лицам один раз в календарный год, если иное не предусмотрено законодательством Республики Беларусь. Для получения указанной информации субъект данных подает заявление компании в порядке, предусмотренном в п. 7.1 настоящей Политики.</w:t>
        <w:br w:type="textWrapping"/>
        <w:t xml:space="preserve">Компания в течение 15 (пятнадцати) дней после получения заявления предоставляет субъекту данных информацию о том, какие данные этого субъекта и кому предоставлялись в течение года, предшествующего дате подачи заявления, либо уведомляет о причинах отказа предоставить такую информацию.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7.4. Субъект данных вправе получать от компании информацию, касающуюся обработки своих персональных данных, содержащую: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наименование и место нахождения компании;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подтверждение факта обработки персональных данных компанией;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его (ее) персональные данные и источник их получения;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правовые основания и цели обработки персональных данных;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срок, на который дано согласие;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наименование и место нахождения лица (организации), которому компания передает его (ее) персональные данные для обработки;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иную информацию, предусмотренную законодательством.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посредством подачи компании заявления в порядке, предусмотренном п. 7.1 настоящей Политики.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Компания в течение пяти рабочих дней после получения такого заявления предоставляет субъекту данных информацию, указанную в ч. 1 п. 7.4 настоящей Политики, либо уведомляет его (ее) о причинах отказа в ее предоставлении.</w:t>
        <w:br w:type="textWrapping"/>
        <w:t xml:space="preserve">При этом информация, указанная в ч. 1 п. 7.4 настоящей Политики, не предоставляется, если персональные данные могут быть получены любым лицом посредством доступа к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7.5. Субъект данных вправе требовать от компании прекращения обработки своих персональных данных, включая их удаление, при отсутствии оснований для обработки таких персональных данных, посредством подачи компании заявления в письменной форме либо в виде электронного документа в порядке, предусмотренном п. 7.1 настоящей Политики.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Компания в течение 15 (Пятнадцати) дней после получения такого заявления прекращает обработку персональных данных (если нет оснований для обработки в соответствии с законодательством), осуществляет их удаление, при отсутствии технической возможности удаления – принимает меры по недопущению дальнейшей обработки персональных данных, включая их блокировку, и уведомляет об этом субъекта данных в тот же срок.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7.6. В случае возникновения иных вопросов, субъекты данных могут задать их компании с соблюдением порядка, предусмотренного п. 7.1 настоящей Политики, или путем обращения в службу поддержки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через страницу (вкладку) «Написать в техническую поддержку» в личном кабинете в </w:t>
      </w:r>
      <w:r w:rsidDel="00000000" w:rsidR="00000000" w:rsidRPr="00000000">
        <w:rPr>
          <w:sz w:val="28"/>
          <w:szCs w:val="28"/>
          <w:rtl w:val="0"/>
        </w:rPr>
        <w:t xml:space="preserve">secondstroy.by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Заключительные положения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Вопросы обработки персональных данных, не предусмотренные настоящей Политикой, регулируются законодательством Республики Беларусь.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8.2. В случае, если какое-либо из положений настоящей Политики признается противоречащим законодательству Республики Беларусь, остальные положения Политики остаются в силе и являются действительными, а любое положение, противоречащее законодательству признается недействующим в той мере, в какой это необходимо для обеспечения соответствия настоящей Политики законодательству Республики Беларусь.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8.3. Компания имеет право по своему усмотрению вносить изменения и (или) дополнения в условия настоящей Политики без предварительного и (или) последующего уведомления об этом субъектов данных. Действующая редакция настоящей Политики доступна по адресу в сети Интернет: </w:t>
      </w:r>
      <w:r w:rsidDel="00000000" w:rsidR="00000000" w:rsidRPr="00000000">
        <w:rPr>
          <w:sz w:val="28"/>
          <w:szCs w:val="28"/>
          <w:rtl w:val="0"/>
        </w:rPr>
        <w:t xml:space="preserve">https://secondstroy.by/info.html.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jc w:val="both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* </w:t>
    </w:r>
    <w:r w:rsidDel="00000000" w:rsidR="00000000" w:rsidRPr="00000000">
      <w:rPr>
        <w:b w:val="1"/>
        <w:color w:val="000000"/>
        <w:sz w:val="22"/>
        <w:szCs w:val="22"/>
        <w:rtl w:val="0"/>
      </w:rPr>
      <w:t xml:space="preserve">Давая согласие на обработку персональных данных компании, субъект персональных данных соглашается на совершение компанией, как оператором персональных данных, следующих действий с данными: сбор, систематизацию, хранение, изменение, использование, обезличивание, блокирование, предоставление, удаление, как с использованием средств автоматизации, так и без них.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287" w:hanging="360.0000000000005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fffff" w:val="clear"/>
      <w:spacing w:after="360" w:before="360" w:lineRule="auto"/>
      <w:jc w:val="center"/>
    </w:pPr>
    <w:rPr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fffff" w:val="clear"/>
      <w:spacing w:after="360" w:before="360" w:lineRule="auto"/>
      <w:jc w:val="center"/>
    </w:pPr>
    <w:rPr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fffff" w:val="clear"/>
      <w:spacing w:after="360" w:before="360" w:lineRule="auto"/>
      <w:jc w:val="center"/>
    </w:pPr>
    <w:rPr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fffff" w:val="clear"/>
      <w:spacing w:after="360" w:before="360" w:lineRule="auto"/>
      <w:jc w:val="center"/>
    </w:pPr>
    <w:rPr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117A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1">
    <w:name w:val="heading 1"/>
    <w:basedOn w:val="a"/>
    <w:next w:val="a"/>
    <w:link w:val="10"/>
    <w:autoRedefine w:val="1"/>
    <w:qFormat w:val="1"/>
    <w:rsid w:val="009E71A0"/>
    <w:pPr>
      <w:shd w:color="auto" w:fill="ffffff" w:val="clear"/>
      <w:spacing w:after="360" w:before="360" w:line="300" w:lineRule="atLeast"/>
      <w:jc w:val="center"/>
      <w:textAlignment w:val="baseline"/>
      <w:outlineLvl w:val="0"/>
    </w:pPr>
    <w:rPr>
      <w:bCs w:val="1"/>
      <w:iCs w:val="1"/>
      <w:color w:val="00000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05222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qFormat w:val="1"/>
    <w:rsid w:val="00F117A5"/>
    <w:pPr>
      <w:ind w:left="720"/>
      <w:contextualSpacing w:val="1"/>
    </w:pPr>
  </w:style>
  <w:style w:type="character" w:styleId="a4">
    <w:name w:val="annotation reference"/>
    <w:basedOn w:val="a0"/>
    <w:uiPriority w:val="99"/>
    <w:semiHidden w:val="1"/>
    <w:unhideWhenUsed w:val="1"/>
    <w:rsid w:val="00290A8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 w:val="1"/>
    <w:rsid w:val="00290A80"/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rsid w:val="00290A80"/>
    <w:rPr>
      <w:rFonts w:ascii="Times New Roman" w:cs="Times New Roman" w:eastAsia="Times New Roman" w:hAnsi="Times New Roman"/>
      <w:sz w:val="20"/>
      <w:szCs w:val="20"/>
      <w:lang w:eastAsia="ru-RU" w:val="ru-RU"/>
    </w:rPr>
  </w:style>
  <w:style w:type="paragraph" w:styleId="a7">
    <w:name w:val="annotation subject"/>
    <w:basedOn w:val="a5"/>
    <w:next w:val="a5"/>
    <w:link w:val="a8"/>
    <w:uiPriority w:val="99"/>
    <w:semiHidden w:val="1"/>
    <w:unhideWhenUsed w:val="1"/>
    <w:rsid w:val="00290A80"/>
    <w:rPr>
      <w:b w:val="1"/>
      <w:bCs w:val="1"/>
    </w:rPr>
  </w:style>
  <w:style w:type="character" w:styleId="a8" w:customStyle="1">
    <w:name w:val="Тема примечания Знак"/>
    <w:basedOn w:val="a6"/>
    <w:link w:val="a7"/>
    <w:uiPriority w:val="99"/>
    <w:semiHidden w:val="1"/>
    <w:rsid w:val="00290A80"/>
    <w:rPr>
      <w:rFonts w:ascii="Times New Roman" w:cs="Times New Roman" w:eastAsia="Times New Roman" w:hAnsi="Times New Roman"/>
      <w:b w:val="1"/>
      <w:bCs w:val="1"/>
      <w:sz w:val="20"/>
      <w:szCs w:val="20"/>
      <w:lang w:eastAsia="ru-RU" w:val="ru-RU"/>
    </w:rPr>
  </w:style>
  <w:style w:type="paragraph" w:styleId="a9">
    <w:name w:val="Balloon Text"/>
    <w:basedOn w:val="a"/>
    <w:link w:val="aa"/>
    <w:uiPriority w:val="99"/>
    <w:semiHidden w:val="1"/>
    <w:unhideWhenUsed w:val="1"/>
    <w:rsid w:val="00290A80"/>
    <w:rPr>
      <w:rFonts w:ascii="Segoe UI" w:cs="Segoe UI" w:hAnsi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290A80"/>
    <w:rPr>
      <w:rFonts w:ascii="Segoe UI" w:cs="Segoe UI" w:eastAsia="Times New Roman" w:hAnsi="Segoe UI"/>
      <w:sz w:val="18"/>
      <w:szCs w:val="18"/>
      <w:lang w:eastAsia="ru-RU" w:val="ru-RU"/>
    </w:rPr>
  </w:style>
  <w:style w:type="paragraph" w:styleId="ab">
    <w:name w:val="header"/>
    <w:basedOn w:val="a"/>
    <w:link w:val="ac"/>
    <w:uiPriority w:val="99"/>
    <w:unhideWhenUsed w:val="1"/>
    <w:rsid w:val="005B60BB"/>
    <w:pPr>
      <w:tabs>
        <w:tab w:val="center" w:pos="4844"/>
        <w:tab w:val="right" w:pos="9689"/>
      </w:tabs>
    </w:pPr>
  </w:style>
  <w:style w:type="character" w:styleId="ac" w:customStyle="1">
    <w:name w:val="Верхний колонтитул Знак"/>
    <w:basedOn w:val="a0"/>
    <w:link w:val="ab"/>
    <w:uiPriority w:val="99"/>
    <w:rsid w:val="005B60BB"/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ad">
    <w:name w:val="footer"/>
    <w:basedOn w:val="a"/>
    <w:link w:val="ae"/>
    <w:uiPriority w:val="99"/>
    <w:unhideWhenUsed w:val="1"/>
    <w:rsid w:val="005B60BB"/>
    <w:pPr>
      <w:tabs>
        <w:tab w:val="center" w:pos="4844"/>
        <w:tab w:val="right" w:pos="9689"/>
      </w:tabs>
    </w:pPr>
  </w:style>
  <w:style w:type="character" w:styleId="ae" w:customStyle="1">
    <w:name w:val="Нижний колонтитул Знак"/>
    <w:basedOn w:val="a0"/>
    <w:link w:val="ad"/>
    <w:uiPriority w:val="99"/>
    <w:rsid w:val="005B60BB"/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Listsublist" w:customStyle="1">
    <w:name w:val="List sublist"/>
    <w:basedOn w:val="a3"/>
    <w:link w:val="ListsublistChar"/>
    <w:qFormat w:val="1"/>
    <w:rsid w:val="001E441F"/>
    <w:pPr>
      <w:numPr>
        <w:numId w:val="5"/>
      </w:numPr>
      <w:jc w:val="both"/>
    </w:pPr>
    <w:rPr>
      <w:b w:val="1"/>
      <w:bCs w:val="1"/>
      <w:sz w:val="22"/>
      <w:szCs w:val="22"/>
      <w:lang w:eastAsia="en-US" w:val="lv-LV"/>
    </w:rPr>
  </w:style>
  <w:style w:type="character" w:styleId="ListsublistChar" w:customStyle="1">
    <w:name w:val="List sublist Char"/>
    <w:basedOn w:val="a0"/>
    <w:link w:val="Listsublist"/>
    <w:rsid w:val="001E441F"/>
    <w:rPr>
      <w:rFonts w:ascii="Times New Roman" w:cs="Times New Roman" w:eastAsia="Times New Roman" w:hAnsi="Times New Roman"/>
      <w:b w:val="1"/>
      <w:bCs w:val="1"/>
      <w:lang w:val="lv-LV"/>
    </w:rPr>
  </w:style>
  <w:style w:type="paragraph" w:styleId="ConsPlusNonformat" w:customStyle="1">
    <w:name w:val="ConsPlusNonformat"/>
    <w:rsid w:val="00A12F39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 w:val="ru-RU"/>
    </w:rPr>
  </w:style>
  <w:style w:type="paragraph" w:styleId="af">
    <w:name w:val="No Spacing"/>
    <w:uiPriority w:val="1"/>
    <w:qFormat w:val="1"/>
    <w:rsid w:val="00B93A0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ConsPlusNormal" w:customStyle="1">
    <w:name w:val="ConsPlusNormal"/>
    <w:rsid w:val="0055217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 w:val="ru-RU"/>
    </w:rPr>
  </w:style>
  <w:style w:type="paragraph" w:styleId="il-text-indent095cm" w:customStyle="1">
    <w:name w:val="il-text-indent_0_95cm"/>
    <w:basedOn w:val="a"/>
    <w:rsid w:val="00945DE7"/>
    <w:pPr>
      <w:spacing w:after="100" w:afterAutospacing="1" w:before="100" w:beforeAutospacing="1"/>
    </w:pPr>
    <w:rPr>
      <w:lang w:eastAsia="en-US" w:val="en-US"/>
    </w:rPr>
  </w:style>
  <w:style w:type="character" w:styleId="fake-non-breaking-space" w:customStyle="1">
    <w:name w:val="fake-non-breaking-space"/>
    <w:basedOn w:val="a0"/>
    <w:rsid w:val="00945DE7"/>
  </w:style>
  <w:style w:type="paragraph" w:styleId="il-text-alignjustify" w:customStyle="1">
    <w:name w:val="il-text-align_justify"/>
    <w:basedOn w:val="a"/>
    <w:rsid w:val="00B8085E"/>
    <w:pPr>
      <w:spacing w:after="100" w:afterAutospacing="1" w:before="100" w:beforeAutospacing="1"/>
    </w:pPr>
    <w:rPr>
      <w:lang w:eastAsia="en-US" w:val="en-US"/>
    </w:rPr>
  </w:style>
  <w:style w:type="character" w:styleId="af0">
    <w:name w:val="Emphasis"/>
    <w:basedOn w:val="a0"/>
    <w:uiPriority w:val="20"/>
    <w:qFormat w:val="1"/>
    <w:rsid w:val="00B8085E"/>
    <w:rPr>
      <w:i w:val="1"/>
      <w:iCs w:val="1"/>
    </w:rPr>
  </w:style>
  <w:style w:type="character" w:styleId="colorff0000font-weightbold" w:customStyle="1">
    <w:name w:val="color__ff0000font-weight_bold"/>
    <w:basedOn w:val="a0"/>
    <w:rsid w:val="00C1536E"/>
  </w:style>
  <w:style w:type="character" w:styleId="af1">
    <w:name w:val="Hyperlink"/>
    <w:basedOn w:val="a0"/>
    <w:uiPriority w:val="99"/>
    <w:unhideWhenUsed w:val="1"/>
    <w:rsid w:val="00C1536E"/>
    <w:rPr>
      <w:color w:val="0000ff"/>
      <w:u w:val="single"/>
    </w:rPr>
  </w:style>
  <w:style w:type="paragraph" w:styleId="af2">
    <w:name w:val="Normal (Web)"/>
    <w:basedOn w:val="a"/>
    <w:uiPriority w:val="99"/>
    <w:rsid w:val="0050305C"/>
  </w:style>
  <w:style w:type="character" w:styleId="10" w:customStyle="1">
    <w:name w:val="Заголовок 1 Знак"/>
    <w:basedOn w:val="a0"/>
    <w:link w:val="1"/>
    <w:rsid w:val="009E71A0"/>
    <w:rPr>
      <w:rFonts w:ascii="Times New Roman" w:cs="Times New Roman" w:eastAsia="Times New Roman" w:hAnsi="Times New Roman"/>
      <w:bCs w:val="1"/>
      <w:iCs w:val="1"/>
      <w:color w:val="000000"/>
      <w:sz w:val="24"/>
      <w:szCs w:val="24"/>
      <w:shd w:color="auto" w:fill="ffffff" w:val="clear"/>
      <w:lang w:eastAsia="ru-RU" w:val="ru-RU"/>
    </w:rPr>
  </w:style>
  <w:style w:type="table" w:styleId="af3">
    <w:name w:val="Table Grid"/>
    <w:basedOn w:val="a1"/>
    <w:uiPriority w:val="39"/>
    <w:rsid w:val="00E047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Заголовок 2 Знак"/>
    <w:basedOn w:val="a0"/>
    <w:link w:val="2"/>
    <w:uiPriority w:val="9"/>
    <w:semiHidden w:val="1"/>
    <w:rsid w:val="00052225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ru-RU" w:val="ru-RU"/>
    </w:rPr>
  </w:style>
  <w:style w:type="character" w:styleId="af4">
    <w:name w:val="Strong"/>
    <w:basedOn w:val="a0"/>
    <w:uiPriority w:val="22"/>
    <w:qFormat w:val="1"/>
    <w:rsid w:val="00052225"/>
    <w:rPr>
      <w:b w:val="1"/>
      <w:bCs w:val="1"/>
    </w:rPr>
  </w:style>
  <w:style w:type="character" w:styleId="af5">
    <w:name w:val="FollowedHyperlink"/>
    <w:basedOn w:val="a0"/>
    <w:uiPriority w:val="99"/>
    <w:semiHidden w:val="1"/>
    <w:unhideWhenUsed w:val="1"/>
    <w:rsid w:val="009E71A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omnidesk.ru/files/personal_data_policy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ndex.ru/legal/confidential/" TargetMode="External"/><Relationship Id="rId8" Type="http://schemas.openxmlformats.org/officeDocument/2006/relationships/hyperlink" Target="https://policies.google.com/privacy?hl=ru#infocollec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e/goaatABwZNOH/sJuyQiFXaA==">CgMxLjA4AHIhMUpqeFgzS0tvWkVaUHVDUms1RXJFR05oNW1EMTNWT1lj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2024-04-16T13:41:00Z</dcterms:created>
  <dc:creator>Borovtsov &amp; Salei</dc:creator>
</cp:coreProperties>
</file>